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43" w:rsidRPr="002F7743" w:rsidRDefault="002F7743" w:rsidP="002F7743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>Итоги муниципального конкурсного отбора 2023 года по инициативным проектам 2024 года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color w:val="2B2B2B"/>
          <w:sz w:val="15"/>
          <w:szCs w:val="15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15"/>
          <w:szCs w:val="15"/>
          <w:lang w:eastAsia="ru-RU"/>
        </w:rPr>
        <w:t>(итоги будут подведены 02 октября </w:t>
      </w:r>
      <w:r w:rsidRPr="002F7743">
        <w:rPr>
          <w:rFonts w:ascii="Helvetica" w:eastAsia="Times New Roman" w:hAnsi="Helvetica" w:cs="Helvetica"/>
          <w:color w:val="FFFFFF"/>
          <w:sz w:val="15"/>
          <w:szCs w:val="15"/>
          <w:lang w:eastAsia="ru-RU"/>
        </w:rPr>
        <w:t>2023</w:t>
      </w:r>
      <w:r w:rsidRPr="002F7743">
        <w:rPr>
          <w:rFonts w:ascii="Helvetica" w:eastAsia="Times New Roman" w:hAnsi="Helvetica" w:cs="Helvetica"/>
          <w:color w:val="2B2B2B"/>
          <w:sz w:val="15"/>
          <w:szCs w:val="15"/>
          <w:lang w:eastAsia="ru-RU"/>
        </w:rPr>
        <w:t> года, Протокол будет опубликован до 05 октября </w:t>
      </w:r>
      <w:r w:rsidRPr="002F7743">
        <w:rPr>
          <w:rFonts w:ascii="Helvetica" w:eastAsia="Times New Roman" w:hAnsi="Helvetica" w:cs="Helvetica"/>
          <w:color w:val="FFFFFF"/>
          <w:sz w:val="15"/>
          <w:szCs w:val="15"/>
          <w:lang w:eastAsia="ru-RU"/>
        </w:rPr>
        <w:t>2023</w:t>
      </w:r>
      <w:r w:rsidRPr="002F7743">
        <w:rPr>
          <w:rFonts w:ascii="Helvetica" w:eastAsia="Times New Roman" w:hAnsi="Helvetica" w:cs="Helvetica"/>
          <w:color w:val="2B2B2B"/>
          <w:sz w:val="15"/>
          <w:szCs w:val="15"/>
          <w:lang w:eastAsia="ru-RU"/>
        </w:rPr>
        <w:t> года)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 xml:space="preserve">Объявление о проведении конкурсного отбора в 2023 году инициативных проектов (с датой реализации проектов в 2024 году) на территории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 xml:space="preserve"> муниципального района 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Администрация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извещает о проведении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конкурсного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отбора на муниципальном этапе на территории 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инициативных проектов, выдвигаемых для получения финансовой поддержки за счет межбюджетных трансфертов из бюджета Иркутской области (далее соответственно —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конкурсный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отбор, инициативные проекты, субсидии).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Процедура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конкурсного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отбора инициативных проектов проводится в соответствии с Порядком проведения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конкурсного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 отбора инициативных проектов на территории Иркутской области (далее — Порядок), утвержденным постановлением Правительства Иркутской области от 31 августа 2022 года № 679-пп, а также с Порядком «выдвижения, внесения и обсуждения инициативных проектов на территории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района, выдвигаемых для получения финансовой поддержки за счет межбюджетных трансфертов из бюджета Иркутской области.</w:t>
      </w:r>
    </w:p>
    <w:p w:rsidR="002F7743" w:rsidRPr="002F7743" w:rsidRDefault="002F7743" w:rsidP="002F7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Условия конкурсного отбора инициативных проектов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 инициативой о внесении инициативного проекта на участие в конкурсном отборе вправе выступить:</w:t>
      </w:r>
    </w:p>
    <w:p w:rsidR="002F7743" w:rsidRPr="002F7743" w:rsidRDefault="002F7743" w:rsidP="002F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инициативная группа численностью не менее трех граждан, достигших шестнадцатилетнего возраста и проживающих на территории 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района.</w:t>
      </w:r>
    </w:p>
    <w:p w:rsidR="002F7743" w:rsidRPr="002F7743" w:rsidRDefault="002F7743" w:rsidP="002F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органы территориального общественного самоуправления;</w:t>
      </w:r>
    </w:p>
    <w:p w:rsidR="002F7743" w:rsidRPr="002F7743" w:rsidRDefault="002F7743" w:rsidP="002F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староста сельского населенного пункта;</w:t>
      </w:r>
    </w:p>
    <w:p w:rsidR="002F7743" w:rsidRPr="002F7743" w:rsidRDefault="002F7743" w:rsidP="002F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муниципальные автономные учреждения;</w:t>
      </w:r>
    </w:p>
    <w:p w:rsidR="002F7743" w:rsidRPr="002F7743" w:rsidRDefault="002F7743" w:rsidP="002F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иные некоммерческие организации.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Срок   реализации   инициативного   проекта   —   в   течение одного календарного года </w:t>
      </w: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(до 30 декабря 2024 года).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Минимальная     доля     инициативных     платежей     —    не менее 10 процентов от общей суммы инициативного проекта.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Предельный  размер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 субсидии   местному   бюджету муниципального образования на реализацию одного инициативного проекта составляет не более 2 млн. рублей.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Финансирование инициативного проекта не должно осуществляться за счет других мероприятий, включенных в государственные программы Иркутской области.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Приоритетные направления инициативных проектов: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Проведение ремонта автомобильных дорог местного значения, устройство тротуаров, пешеходных переходов (дорожек), остановочных пунктов. Проведение текущего ремонта объектов муниципальной собственности.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lastRenderedPageBreak/>
        <w:t>Проведение текущего ремонта объектов муниципальной собственности.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Организация материально-технического обеспечения муниципальных учреждений социальной сферы (образование, культура, физическая культур аи спорт, молодежная политика), в том числе приобретение нового оборудования, инвентаря, сценических и национальных костюмов, мебели, оргтехники.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Устройство уличного освещения.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Благоустройство территорий (дворов, мест массового отдыха населения, территорий, прилегающих к объектам социальной инфраструктуры, исторических памятных мест, памятников истории и 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культуры,устройство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пешеходных дорожек,устройство велодорожек).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Организация детских и спортивных площадок, в том числе научных детских площадок</w:t>
      </w: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, 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предусмотренных планом проведения в РФ Десятилетия науки и технологий, утвержденным распоряжением Правительства РФ от 25.07.2022 года № 2036-р.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Организация и оснащение проведения культурных, спортивных и образовательных мероприятий, мероприятий в сфере молодежной политики.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Создание и обустройство экологических троп, инфраструктуры туристических маршрутов.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Создание инфраструктуры для организации и проведения культурно-массовых 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  спортивных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 мероприятий, мероприятий в сфере молодежной политики, в  том  числе ярмарок, выставок, концертов.</w:t>
      </w:r>
    </w:p>
    <w:p w:rsidR="002F7743" w:rsidRPr="002F7743" w:rsidRDefault="002F7743" w:rsidP="002F77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Создание инклюзивной инфраструктуры.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Перечень критериев оценки инициативных проектов:</w:t>
      </w:r>
    </w:p>
    <w:p w:rsidR="002F7743" w:rsidRPr="002F7743" w:rsidRDefault="002F7743" w:rsidP="002F77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актуальность и социальная значимость инициативного проекта;</w:t>
      </w:r>
    </w:p>
    <w:p w:rsidR="002F7743" w:rsidRPr="002F7743" w:rsidRDefault="002F7743" w:rsidP="002F77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степень участия граждан, индивидуальных предпринимателей, юридических лиц в реализации инициативного проекта, в том числе степень имущественного и (или) трудового участия;</w:t>
      </w:r>
    </w:p>
    <w:p w:rsidR="002F7743" w:rsidRPr="002F7743" w:rsidRDefault="002F7743" w:rsidP="002F77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степень участия населения в определении проблемы, на решение которой направлен инициативный проект, в том числе: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количество 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жителей,участвующих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в определении проблемы и подготовке инициативного проекта, согласно протоколу собрания и (или) подписным листам,подтверждающим поддержку инициативного проекта жителями Слюдянского района или населенных пунктов, входящих в его состав;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наличие протокола собрания и (или) подписных 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листов,подтверждающих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поддержку инициативного проекта жителями Слюдянского района или населенных пунктов, входящих в его состав;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   4. социальная эффективность от реализации инициативного проекта, в том числе удельный вес населения -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благополучателей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(в процентах от общего числа жителей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района или населенных пунктов, входящих в его состав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   5. доля инициативных платежей не менее 10 % от общей суммы реализации инициативного проекта;</w:t>
      </w:r>
    </w:p>
    <w:p w:rsidR="00632A75" w:rsidRDefault="002F7743" w:rsidP="002F77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Место нахождения, почтовый и электронный </w:t>
      </w:r>
    </w:p>
    <w:p w:rsidR="002F7743" w:rsidRPr="002F7743" w:rsidRDefault="002F7743" w:rsidP="00632A75">
      <w:pPr>
        <w:pStyle w:val="a5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bookmarkStart w:id="0" w:name="_GoBack"/>
      <w:bookmarkEnd w:id="0"/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адреса,</w:t>
      </w:r>
      <w:r w:rsidR="00632A75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 xml:space="preserve"> </w:t>
      </w: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номера контактные телефонов уполномоченного органа по приему документов</w:t>
      </w:r>
    </w:p>
    <w:p w:rsidR="002F7743" w:rsidRPr="002F7743" w:rsidRDefault="002F7743" w:rsidP="002F77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место нахождения: г. 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Слюдянка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, ул. 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Ржанова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, д.2, каб.14;</w:t>
      </w:r>
    </w:p>
    <w:p w:rsidR="002F7743" w:rsidRPr="002F7743" w:rsidRDefault="002F7743" w:rsidP="002F77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почтовый адрес для направления документов: 665900, г. </w:t>
      </w:r>
      <w:proofErr w:type="spellStart"/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Слюдянка,ул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Ржанова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, 2, каб.14;</w:t>
      </w:r>
    </w:p>
    <w:p w:rsidR="002F7743" w:rsidRPr="002F7743" w:rsidRDefault="002F7743" w:rsidP="002F77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lastRenderedPageBreak/>
        <w:t>электронный адрес: </w:t>
      </w:r>
      <w:hyperlink r:id="rId5" w:history="1">
        <w:r w:rsidRPr="002F774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saldusheva_av@sludyanka.ru</w:t>
        </w:r>
      </w:hyperlink>
    </w:p>
    <w:p w:rsidR="002F7743" w:rsidRPr="002F7743" w:rsidRDefault="002F7743" w:rsidP="002F77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официальный сайт в информационно-телекоммуникационной сети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«Интернет› : </w:t>
      </w:r>
      <w:hyperlink r:id="rId6" w:tooltip="Ссылка: http://www.sludyanka.ru/" w:history="1">
        <w:r w:rsidRPr="002F774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www.sludyanka.ru</w:t>
        </w:r>
      </w:hyperlink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 раздел «Экономика» подраздел «Инициативные проекты»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График работы администрации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района: понедельник - четверг с 8-00 часов до 17-00 часов (перерыв с 12-00 часов до 13-00 часов), пятница с 8-00 до 12-00.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Консультации по вопросам проведения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конкурсного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 отбора инициативных проектов можно получить у ведущего 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аналитика  отдела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по анализу и прогнозированию социально-экономического развития территории Управления социально-экономического развития администрации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- Игумновой Вероники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Матеюсовны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тел. 8 (39544)  51-2-05 (доб. 115).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3. Срок, место и порядок представления документов для участия в конкурсном отборе, а также требования к их оформлению: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Конкурсный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отбор инициативных проектов будет проводиться в 2 этапа: на муниципальном и региональном этапах.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Для участия в конкурсном отборе на муниципальном этапе 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инициаторы проекта направляют в уполномоченный орган (отдел по анализу и прогнозированию социально-экономического 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развития  территории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управления социально-экономического развития администрации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района) </w:t>
      </w: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на бумажном и электронном носителях в срок до 11 сентября 2023 года: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заявку в произвольной форме, подписанную всеми инициаторами проекта;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инициативный 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проект,составленный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по форме согласно приложению 1 к Порядку проведения на территории Иркутской области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конкурсного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 отбора инициативных проектов, выдвигаемых для получения финансовой поддержки за счет межбюджетных трансфертов из бюджета Иркутской области, утвержденный постановлением Правительства Иркутской области № 679 –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пп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(далее – областной Порядок);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протокол собраний граждан и (или) подписные листы (с протоколом и согласием на обработку ПД), подтверждающие поддержку инициативного проекта жителями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или 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населенных пунктов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входящих в его состав;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лиц, составленные по форме согласно приложению 2 к 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областному  Порядку</w:t>
      </w:r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(предоставляются в случае, если в реализации инициативного проекта планируется использование указанных форм);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гарантийное письмо, подписанное инициаторами инициативного проекта, содержащее обязательство по перечислению в течение 5 рабочих дней со дня подписания протокола муниципальной </w:t>
      </w:r>
      <w:r w:rsidRPr="002F7743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конкурсной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 комиссии инициативных платежей в местный </w:t>
      </w:r>
      <w:proofErr w:type="gram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бюджет 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proofErr w:type="gram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или поселения, входящего в состав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составленное по форме согласно приложению 3 к областному Порядку;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оформленное протоколом общего собрания собственников помещений в многоквартирном доме решение о согласии на оказание услуг (выполнение работ) по проведению благоустройства, ремонта общего имущества в многоквартирном доме и (или) о принятии создаваемого в результате инициативного проекта имущества в состав общего имущества многоквартирного дома (в случае, если инициативный 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lastRenderedPageBreak/>
        <w:t>проект предполагает оказание услуг (выполнение работ) по проведению благоустройства, ремонту общего имущества в многоквартирном доме);</w:t>
      </w:r>
    </w:p>
    <w:p w:rsidR="002F7743" w:rsidRPr="002F7743" w:rsidRDefault="002F7743" w:rsidP="002F7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выписку из ЕГРН, подтверждающую, что земельный участок под многоквартирным домом, составляющий дворовую территорию, находится полностью или частично в частной собственности, поставлен на кадастровый учет (в случае, если инициативный проект предполагает размещение имущества на земельном участке, входящем в состав общего имущества многоквартирного дома).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Уполномоченный орган регистрирует заявки на участие в конкурсном отборе в день их поступления с указанием даты и времени.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Для участия в конкурсном отборе на региональном </w:t>
      </w: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этапе уполномоченный орган руководствуется региональным извещением. </w:t>
      </w:r>
    </w:p>
    <w:p w:rsidR="002F7743" w:rsidRPr="002F7743" w:rsidRDefault="002F7743" w:rsidP="002F774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36"/>
          <w:szCs w:val="36"/>
          <w:lang w:eastAsia="ru-RU"/>
        </w:rPr>
        <w:t>4. Порядок и сроки объявления результатов конкурсного отбора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Итоги конкурсного отбора на муниципальном этапе утверждаются протоколом конкурсной комиссии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 не позднее 04 октября 2023г. Протокол подлежит размещению на официальном сайте администрации </w:t>
      </w:r>
      <w:proofErr w:type="spellStart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Слюдянского</w:t>
      </w:r>
      <w:proofErr w:type="spellEnd"/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муниципального района </w:t>
      </w:r>
      <w:hyperlink r:id="rId7" w:history="1">
        <w:r w:rsidRPr="002F774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www.sludyanka.ru</w:t>
        </w:r>
      </w:hyperlink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 в разделе «Экономика» подразделе «Инициативные проекты».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Итоги конкурсного отбора утверждаются   распоряжением Правительства Иркутской области, проект которого готовит министерство экономического развития и промышленности Иркутской области на основании протокола заседания межведомственной комиссии по проведению конкурсного отбора инициативных проектов.</w:t>
      </w:r>
    </w:p>
    <w:p w:rsidR="002F7743" w:rsidRPr="002F7743" w:rsidRDefault="002F7743" w:rsidP="002F774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Распоряжение Правительства Иркутской области об итогах конкурсного отбора инициативных проектов подлежит официальному опубликованию в установленном порядке,а также размещению на официальном сайте министерства в информационно-телекоммуникационной сети «Интернет» </w:t>
      </w:r>
      <w:hyperlink r:id="rId8" w:history="1">
        <w:r w:rsidRPr="002F774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https://irkobl.ru/sites/economy</w:t>
        </w:r>
      </w:hyperlink>
      <w:r w:rsidRPr="002F7743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</w:t>
      </w:r>
    </w:p>
    <w:p w:rsidR="00791467" w:rsidRDefault="00791467"/>
    <w:sectPr w:rsidR="0079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4F"/>
    <w:multiLevelType w:val="multilevel"/>
    <w:tmpl w:val="7CF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E63C2"/>
    <w:multiLevelType w:val="multilevel"/>
    <w:tmpl w:val="CEB2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2DFD"/>
    <w:multiLevelType w:val="multilevel"/>
    <w:tmpl w:val="F4B2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16565"/>
    <w:multiLevelType w:val="multilevel"/>
    <w:tmpl w:val="2148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C301E"/>
    <w:multiLevelType w:val="multilevel"/>
    <w:tmpl w:val="63AE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F0B6B"/>
    <w:multiLevelType w:val="multilevel"/>
    <w:tmpl w:val="735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3"/>
    <w:rsid w:val="002F7743"/>
    <w:rsid w:val="00632A75"/>
    <w:rsid w:val="00791467"/>
    <w:rsid w:val="00E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6725"/>
  <w15:chartTrackingRefBased/>
  <w15:docId w15:val="{DC87B31C-12C1-409D-96C8-DA182CF2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7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77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77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F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7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/" TargetMode="External"/><Relationship Id="rId5" Type="http://schemas.openxmlformats.org/officeDocument/2006/relationships/hyperlink" Target="mailto:saldusheva_av@sludyan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2023-08-25T05:27:00Z</dcterms:created>
  <dcterms:modified xsi:type="dcterms:W3CDTF">2023-08-25T06:01:00Z</dcterms:modified>
</cp:coreProperties>
</file>